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D83A30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D83A30">
      <w:pPr>
        <w:bidi/>
        <w:spacing w:after="0"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="00972E52">
        <w:rPr>
          <w:rFonts w:cs="B Nazanin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 xml:space="preserve"> 1398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>1397</w:t>
      </w:r>
    </w:p>
    <w:p w:rsidR="00972E52" w:rsidRDefault="00E41516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945977" w:rsidRPr="001D3437" w:rsidRDefault="00E41516" w:rsidP="003A5314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درس:</w:t>
      </w:r>
      <w:r w:rsidR="00972E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 xml:space="preserve">آزمون های </w:t>
      </w:r>
      <w:r w:rsidR="00885E2F">
        <w:rPr>
          <w:rFonts w:ascii="Tahoma" w:hAnsi="Tahoma" w:cs="Tahoma" w:hint="cs"/>
          <w:sz w:val="18"/>
          <w:szCs w:val="18"/>
          <w:rtl/>
        </w:rPr>
        <w:t>شناختی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</w:t>
      </w:r>
      <w:r w:rsidR="0023535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A5314">
        <w:rPr>
          <w:rFonts w:ascii="Tahoma" w:hAnsi="Tahoma" w:cs="Tahoma" w:hint="cs"/>
          <w:sz w:val="18"/>
          <w:szCs w:val="18"/>
          <w:rtl/>
        </w:rPr>
        <w:t>50</w:t>
      </w:r>
      <w:bookmarkStart w:id="0" w:name="_GoBack"/>
      <w:bookmarkEnd w:id="0"/>
      <w:r w:rsidR="00DC60E2" w:rsidRPr="00DC60E2">
        <w:rPr>
          <w:rFonts w:ascii="Tahoma" w:hAnsi="Tahoma" w:cs="Tahoma" w:hint="cs"/>
          <w:sz w:val="18"/>
          <w:szCs w:val="18"/>
          <w:rtl/>
        </w:rPr>
        <w:t>-</w:t>
      </w:r>
      <w:r w:rsidR="00885E2F">
        <w:rPr>
          <w:rFonts w:ascii="Tahoma" w:hAnsi="Tahoma" w:cs="Tahoma"/>
          <w:sz w:val="18"/>
          <w:szCs w:val="18"/>
          <w:rtl/>
        </w:rPr>
        <w:t>١٨١٩٠٠٨</w:t>
      </w:r>
      <w:r w:rsidR="00DC60E2">
        <w:rPr>
          <w:rFonts w:ascii="Tahoma" w:hAnsi="Tahoma" w:cs="Tahoma" w:hint="cs"/>
          <w:sz w:val="18"/>
          <w:szCs w:val="18"/>
          <w:rtl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روز و ساعت کلاس</w:t>
      </w:r>
      <w:r w:rsidRPr="00972E52">
        <w:rPr>
          <w:rFonts w:ascii="Tahoma" w:hAnsi="Tahoma" w:cs="Tahoma" w:hint="cs"/>
          <w:sz w:val="18"/>
          <w:szCs w:val="18"/>
          <w:rtl/>
        </w:rPr>
        <w:t>:</w:t>
      </w:r>
      <w:r w:rsidR="00F71FFB">
        <w:rPr>
          <w:rFonts w:ascii="Tahoma" w:hAnsi="Tahoma" w:cs="Tahoma" w:hint="cs"/>
          <w:sz w:val="18"/>
          <w:szCs w:val="18"/>
          <w:rtl/>
        </w:rPr>
        <w:t xml:space="preserve"> </w:t>
      </w:r>
      <w:r w:rsidR="00885E2F">
        <w:rPr>
          <w:rFonts w:ascii="Tahoma" w:hAnsi="Tahoma" w:cs="Tahoma" w:hint="cs"/>
          <w:sz w:val="18"/>
          <w:szCs w:val="18"/>
          <w:rtl/>
        </w:rPr>
        <w:t>دو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شنبه از ساعت </w:t>
      </w:r>
      <w:r w:rsidR="00885E2F">
        <w:rPr>
          <w:rFonts w:ascii="Tahoma" w:hAnsi="Tahoma" w:cs="Tahoma" w:hint="cs"/>
          <w:sz w:val="18"/>
          <w:szCs w:val="18"/>
          <w:rtl/>
        </w:rPr>
        <w:t>15.30</w:t>
      </w:r>
      <w:r w:rsidR="00972E52" w:rsidRPr="00972E52">
        <w:rPr>
          <w:rFonts w:ascii="Tahoma" w:hAnsi="Tahoma" w:cs="Tahoma" w:hint="cs"/>
          <w:sz w:val="18"/>
          <w:szCs w:val="18"/>
          <w:rtl/>
        </w:rPr>
        <w:t xml:space="preserve"> لغایت </w:t>
      </w:r>
      <w:r w:rsidR="00885E2F">
        <w:rPr>
          <w:rFonts w:ascii="Tahoma" w:hAnsi="Tahoma" w:cs="Tahoma" w:hint="cs"/>
          <w:sz w:val="18"/>
          <w:szCs w:val="18"/>
          <w:rtl/>
        </w:rPr>
        <w:t>17.30</w:t>
      </w:r>
      <w:r w:rsidR="00972E52">
        <w:rPr>
          <w:rFonts w:cs="B Nazanin"/>
          <w:b/>
          <w:bCs/>
          <w:sz w:val="24"/>
          <w:szCs w:val="24"/>
          <w:rtl/>
          <w:lang w:bidi="fa-IR"/>
        </w:rPr>
        <w:br/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D3E90">
        <w:rPr>
          <w:rFonts w:ascii="Tahoma" w:hAnsi="Tahoma" w:cs="Tahoma" w:hint="cs"/>
          <w:sz w:val="18"/>
          <w:szCs w:val="18"/>
          <w:rtl/>
        </w:rPr>
        <w:t>107 یا آزمابشگاه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972E52" w:rsidRDefault="00945977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</w:p>
    <w:p w:rsidR="0053479C" w:rsidRPr="001D3437" w:rsidRDefault="0053479C" w:rsidP="00B44A4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وحید صادقی فیروزآبادی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ایمیل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hyperlink r:id="rId6" w:history="1">
        <w:r w:rsidRPr="00972E52">
          <w:rPr>
            <w:rFonts w:ascii="Tahoma" w:hAnsi="Tahoma" w:cs="Tahoma"/>
            <w:sz w:val="18"/>
            <w:szCs w:val="18"/>
          </w:rPr>
          <w:t>v_sadeghi@sbu.ac.ir</w:t>
        </w:r>
      </w:hyperlink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تلفن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>29905383 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29905317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اتاق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 xml:space="preserve">421 یا </w:t>
      </w:r>
      <w:r>
        <w:rPr>
          <w:rFonts w:ascii="Tahoma" w:hAnsi="Tahoma" w:cs="Tahoma" w:hint="cs"/>
          <w:sz w:val="18"/>
          <w:szCs w:val="18"/>
          <w:rtl/>
        </w:rPr>
        <w:t xml:space="preserve">اتاق </w:t>
      </w:r>
      <w:r w:rsidRPr="00972E52">
        <w:rPr>
          <w:rFonts w:ascii="Tahoma" w:hAnsi="Tahoma" w:cs="Tahoma" w:hint="cs"/>
          <w:sz w:val="18"/>
          <w:szCs w:val="18"/>
          <w:rtl/>
        </w:rPr>
        <w:t>معاونت مجموعه آزمایشگاه‌های روان</w:t>
      </w:r>
      <w:r>
        <w:rPr>
          <w:rFonts w:ascii="Tahoma" w:hAnsi="Tahoma" w:cs="Tahoma" w:hint="cs"/>
          <w:sz w:val="18"/>
          <w:szCs w:val="18"/>
          <w:rtl/>
        </w:rPr>
        <w:t>‌</w:t>
      </w:r>
      <w:r w:rsidRPr="00972E52">
        <w:rPr>
          <w:rFonts w:ascii="Tahoma" w:hAnsi="Tahoma" w:cs="Tahoma" w:hint="cs"/>
          <w:sz w:val="18"/>
          <w:szCs w:val="18"/>
          <w:rtl/>
        </w:rPr>
        <w:t>شناسی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B44A4B">
        <w:rPr>
          <w:rFonts w:ascii="Tahoma" w:hAnsi="Tahoma" w:cs="Tahoma"/>
          <w:sz w:val="18"/>
          <w:szCs w:val="18"/>
          <w:rtl/>
        </w:rPr>
        <w:t>شنبه/یکشنبه از ساعت 13 تا 14 و دوشنبه/چهارشنبه از ساعت 10 تا 12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</w:p>
    <w:p w:rsidR="00E41516" w:rsidRDefault="003E0EBC" w:rsidP="00D83A30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3278D0" w:rsidRPr="00F71FFB" w:rsidRDefault="003278D0" w:rsidP="00B93764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 w:rsidRPr="00F71FFB">
        <w:rPr>
          <w:rFonts w:ascii="Tahoma" w:hAnsi="Tahoma" w:cs="Tahoma" w:hint="cs"/>
          <w:sz w:val="18"/>
          <w:szCs w:val="18"/>
          <w:rtl/>
        </w:rPr>
        <w:t>آشنایی با مجموعه آزمون های کامپیوتری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 xml:space="preserve"> نوین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شامل </w:t>
      </w:r>
      <w:r w:rsidRPr="00F71FFB">
        <w:rPr>
          <w:rFonts w:ascii="Tahoma" w:hAnsi="Tahoma" w:cs="Tahoma"/>
          <w:sz w:val="18"/>
          <w:szCs w:val="18"/>
        </w:rPr>
        <w:t>Vienna Test System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و </w:t>
      </w:r>
      <w:proofErr w:type="spellStart"/>
      <w:r w:rsidRPr="00F71FFB">
        <w:rPr>
          <w:rFonts w:ascii="Tahoma" w:hAnsi="Tahoma" w:cs="Tahoma"/>
          <w:sz w:val="18"/>
          <w:szCs w:val="18"/>
        </w:rPr>
        <w:t>CANTABeclipse</w:t>
      </w:r>
      <w:proofErr w:type="spellEnd"/>
      <w:r w:rsidR="00F71FFB">
        <w:rPr>
          <w:rFonts w:ascii="Tahoma" w:hAnsi="Tahoma" w:cs="Tahoma" w:hint="cs"/>
          <w:sz w:val="18"/>
          <w:szCs w:val="18"/>
          <w:rtl/>
        </w:rPr>
        <w:t xml:space="preserve"> و </w:t>
      </w:r>
      <w:r w:rsidR="00F71FFB">
        <w:rPr>
          <w:rFonts w:ascii="Tahoma" w:hAnsi="Tahoma" w:cs="Tahoma"/>
          <w:sz w:val="18"/>
          <w:szCs w:val="18"/>
        </w:rPr>
        <w:t>CNS VS</w:t>
      </w:r>
    </w:p>
    <w:p w:rsidR="00885E2F" w:rsidRPr="00885E2F" w:rsidRDefault="00885E2F" w:rsidP="00B93764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 w:rsidRPr="00885E2F">
        <w:rPr>
          <w:rFonts w:ascii="Tahoma" w:hAnsi="Tahoma" w:cs="Tahoma" w:hint="cs"/>
          <w:sz w:val="18"/>
          <w:szCs w:val="18"/>
          <w:rtl/>
          <w:lang w:bidi="fa-IR"/>
        </w:rPr>
        <w:t>آشنایی با نظریه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>‌</w:t>
      </w:r>
      <w:r w:rsidRPr="00885E2F">
        <w:rPr>
          <w:rFonts w:ascii="Tahoma" w:hAnsi="Tahoma" w:cs="Tahoma" w:hint="cs"/>
          <w:sz w:val="18"/>
          <w:szCs w:val="18"/>
          <w:rtl/>
          <w:lang w:bidi="fa-IR"/>
        </w:rPr>
        <w:t xml:space="preserve">های ابعادی مرتبط با کارکردهای توجه شامل توجه متمرکز، توجه انتخابی، توجه تقسیم شده، توجه پیوسته و گوش به زنگی </w:t>
      </w:r>
    </w:p>
    <w:p w:rsidR="00885E2F" w:rsidRPr="00885E2F" w:rsidRDefault="00885E2F" w:rsidP="00CE211C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 w:rsidRPr="00885E2F">
        <w:rPr>
          <w:rFonts w:ascii="Tahoma" w:hAnsi="Tahoma" w:cs="Tahoma" w:hint="cs"/>
          <w:sz w:val="18"/>
          <w:szCs w:val="18"/>
          <w:rtl/>
          <w:lang w:bidi="fa-IR"/>
        </w:rPr>
        <w:t>آشنایی با مناظق مغزی مرتبط با انواع توجه شامل توجه متمرکز، توجه انتخابی، توجه تقسیم شده، توجه پیوسته و گوش به زنگی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متمرکز (</w:t>
      </w:r>
      <w:r>
        <w:rPr>
          <w:rFonts w:ascii="Tahoma" w:hAnsi="Tahoma" w:cs="Tahoma"/>
          <w:sz w:val="18"/>
          <w:szCs w:val="18"/>
          <w:lang w:bidi="fa-IR"/>
        </w:rPr>
        <w:t>WAFF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انتخابی (</w:t>
      </w:r>
      <w:r>
        <w:rPr>
          <w:rFonts w:ascii="Tahoma" w:hAnsi="Tahoma" w:cs="Tahoma"/>
          <w:sz w:val="18"/>
          <w:szCs w:val="18"/>
          <w:lang w:bidi="fa-IR"/>
        </w:rPr>
        <w:t>WAFS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>آشنایی با شیوه اجرا و تفسیر آزمون کامپیوتری توجه تقسیم شده (</w:t>
      </w:r>
      <w:r>
        <w:rPr>
          <w:rFonts w:ascii="Tahoma" w:hAnsi="Tahoma" w:cs="Tahoma"/>
          <w:sz w:val="18"/>
          <w:szCs w:val="18"/>
          <w:lang w:bidi="fa-IR"/>
        </w:rPr>
        <w:t>WAFG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کامپیوتری توجه پیوسته (</w:t>
      </w:r>
      <w:r>
        <w:rPr>
          <w:rFonts w:ascii="Tahoma" w:hAnsi="Tahoma" w:cs="Tahoma"/>
          <w:sz w:val="18"/>
          <w:szCs w:val="18"/>
          <w:lang w:bidi="fa-IR"/>
        </w:rPr>
        <w:t>WAFV-S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885E2F" w:rsidRP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کامپیوتری گوش به زنگی (</w:t>
      </w:r>
      <w:r>
        <w:rPr>
          <w:rFonts w:ascii="Tahoma" w:hAnsi="Tahoma" w:cs="Tahoma"/>
          <w:sz w:val="18"/>
          <w:szCs w:val="18"/>
          <w:lang w:bidi="fa-IR"/>
        </w:rPr>
        <w:t>WAFV-V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F71FFB" w:rsidRDefault="003278D0" w:rsidP="00885E2F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کامپیوتری توجه پیوسته سیگنال 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(</w:t>
      </w:r>
      <w:r w:rsidR="00F71FFB">
        <w:rPr>
          <w:rFonts w:ascii="Tahoma" w:hAnsi="Tahoma" w:cs="Tahoma"/>
          <w:sz w:val="18"/>
          <w:szCs w:val="18"/>
          <w:lang w:bidi="fa-IR"/>
        </w:rPr>
        <w:t>SIGNAL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کامپیوتری کنترل پاسخ و توجه دیداری/ شنیداری یکپارچه (</w:t>
      </w:r>
      <w:r>
        <w:rPr>
          <w:rFonts w:ascii="Tahoma" w:hAnsi="Tahoma" w:cs="Tahoma"/>
          <w:sz w:val="18"/>
          <w:szCs w:val="18"/>
        </w:rPr>
        <w:t>IVA-2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885E2F" w:rsidRDefault="00885E2F" w:rsidP="00885E2F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  <w:lang w:bidi="fa-IR"/>
        </w:rPr>
        <w:t xml:space="preserve">آشنایی با شیوه اجرا و تفسیر آزمون های </w:t>
      </w:r>
      <w:r>
        <w:rPr>
          <w:rFonts w:ascii="Tahoma" w:hAnsi="Tahoma" w:cs="Tahoma"/>
          <w:sz w:val="18"/>
          <w:szCs w:val="18"/>
          <w:lang w:bidi="fa-IR"/>
        </w:rPr>
        <w:t>Executive Function</w:t>
      </w:r>
      <w:r w:rsidR="00B93764">
        <w:rPr>
          <w:rFonts w:ascii="Tahoma" w:hAnsi="Tahoma" w:cs="Tahoma" w:hint="cs"/>
          <w:sz w:val="18"/>
          <w:szCs w:val="18"/>
          <w:rtl/>
          <w:lang w:bidi="fa-IR"/>
        </w:rPr>
        <w:t xml:space="preserve"> از مجموعه آزمون های </w:t>
      </w:r>
      <w:proofErr w:type="spellStart"/>
      <w:r w:rsidR="00B93764">
        <w:rPr>
          <w:rFonts w:ascii="Tahoma" w:hAnsi="Tahoma" w:cs="Tahoma"/>
          <w:sz w:val="18"/>
          <w:szCs w:val="18"/>
          <w:lang w:bidi="fa-IR"/>
        </w:rPr>
        <w:t>CANTABeclipse</w:t>
      </w:r>
      <w:proofErr w:type="spellEnd"/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Pr="00364423" w:rsidRDefault="00364423" w:rsidP="00364423">
      <w:pPr>
        <w:bidi/>
        <w:jc w:val="both"/>
        <w:rPr>
          <w:rFonts w:ascii="Tahoma" w:hAnsi="Tahoma" w:cs="Tahoma"/>
          <w:sz w:val="18"/>
          <w:szCs w:val="18"/>
        </w:rPr>
      </w:pPr>
    </w:p>
    <w:p w:rsidR="003E0EBC" w:rsidRPr="00D83A30" w:rsidRDefault="003E0EBC" w:rsidP="001D677A">
      <w:pPr>
        <w:bidi/>
        <w:jc w:val="both"/>
        <w:rPr>
          <w:rFonts w:cs="B Nazanin"/>
          <w:sz w:val="18"/>
          <w:szCs w:val="18"/>
          <w:rtl/>
          <w:lang w:bidi="fa-IR"/>
        </w:rPr>
      </w:pP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برنامه هفتگی</w:t>
      </w:r>
      <w:r w:rsidR="000B49BA"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و سرفصل</w:t>
      </w: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دروس: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8100"/>
        <w:gridCol w:w="810"/>
        <w:gridCol w:w="1260"/>
      </w:tblGrid>
      <w:tr w:rsidR="00D64FCC" w:rsidRPr="00EC61FA" w:rsidTr="009B26F1">
        <w:trPr>
          <w:jc w:val="center"/>
        </w:trPr>
        <w:tc>
          <w:tcPr>
            <w:tcW w:w="8100" w:type="dxa"/>
            <w:shd w:val="clear" w:color="auto" w:fill="D6E3BC" w:themeFill="accent3" w:themeFillTint="66"/>
          </w:tcPr>
          <w:p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F71FFB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0B6601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60" w:type="dxa"/>
          </w:tcPr>
          <w:p w:rsidR="00F71FFB" w:rsidRPr="00E7406E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...13</w:t>
            </w:r>
          </w:p>
        </w:tc>
      </w:tr>
      <w:tr w:rsidR="00F71FFB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0B6601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60" w:type="dxa"/>
          </w:tcPr>
          <w:p w:rsidR="00F71FFB" w:rsidRDefault="00F71FFB" w:rsidP="00F71FFB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9B26F1" w:rsidRPr="00EC61FA" w:rsidTr="000B6601">
        <w:trPr>
          <w:trHeight w:hRule="exact" w:val="856"/>
          <w:jc w:val="center"/>
        </w:trPr>
        <w:tc>
          <w:tcPr>
            <w:tcW w:w="8100" w:type="dxa"/>
            <w:vAlign w:val="center"/>
          </w:tcPr>
          <w:p w:rsidR="009B26F1" w:rsidRPr="00261DA3" w:rsidRDefault="00B93764" w:rsidP="000B6601">
            <w:pPr>
              <w:bidi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 xml:space="preserve">نظریه‌های ابعادی مرتبط با کارکردهای توجه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و </w:t>
            </w:r>
            <w:r w:rsidRPr="00885E2F">
              <w:rPr>
                <w:rFonts w:ascii="Tahoma" w:hAnsi="Tahoma" w:cs="Tahoma" w:hint="cs"/>
                <w:sz w:val="18"/>
                <w:szCs w:val="18"/>
                <w:rtl/>
              </w:rPr>
              <w:t xml:space="preserve">مناظق مغزی مرتبط با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آنها 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شامل توجه متمرکز، توجه انتخابی، توجه تقسیم شده، توجه پیوسته و گوش به زنگی</w:t>
            </w:r>
          </w:p>
        </w:tc>
        <w:tc>
          <w:tcPr>
            <w:tcW w:w="810" w:type="dxa"/>
          </w:tcPr>
          <w:p w:rsidR="009B26F1" w:rsidRPr="00EC61FA" w:rsidRDefault="009B26F1" w:rsidP="009B26F1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60" w:type="dxa"/>
          </w:tcPr>
          <w:p w:rsidR="009B26F1" w:rsidRDefault="009B26F1" w:rsidP="009B26F1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820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کامپیوتری توجه متمرکز (</w:t>
            </w:r>
            <w:r w:rsidRPr="00B93764">
              <w:rPr>
                <w:rFonts w:ascii="Tahoma" w:hAnsi="Tahoma" w:cs="Tahoma"/>
                <w:sz w:val="18"/>
                <w:szCs w:val="18"/>
              </w:rPr>
              <w:t>WAFF</w:t>
            </w:r>
            <w:r w:rsidRPr="00B93764"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، توجه انتخابی (</w:t>
            </w:r>
            <w:r>
              <w:rPr>
                <w:rFonts w:ascii="Tahoma" w:hAnsi="Tahoma" w:cs="Tahoma"/>
                <w:sz w:val="18"/>
                <w:szCs w:val="18"/>
              </w:rPr>
              <w:t>WAFS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توجه تقسیم شده (</w:t>
            </w:r>
            <w:r>
              <w:rPr>
                <w:rFonts w:ascii="Tahoma" w:hAnsi="Tahoma" w:cs="Tahoma"/>
                <w:sz w:val="18"/>
                <w:szCs w:val="18"/>
              </w:rPr>
              <w:t>WAFG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توجه پیوسته (</w:t>
            </w:r>
            <w:r>
              <w:rPr>
                <w:rFonts w:ascii="Tahoma" w:hAnsi="Tahoma" w:cs="Tahoma"/>
                <w:sz w:val="18"/>
                <w:szCs w:val="18"/>
              </w:rPr>
              <w:t>WAFV-S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 و  گوش به زنگی (</w:t>
            </w:r>
            <w:r>
              <w:rPr>
                <w:rFonts w:ascii="Tahoma" w:hAnsi="Tahoma" w:cs="Tahoma"/>
                <w:sz w:val="18"/>
                <w:szCs w:val="18"/>
              </w:rPr>
              <w:t>WAFV-V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541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532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460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های </w:t>
            </w:r>
            <w:r>
              <w:rPr>
                <w:rFonts w:ascii="Tahoma" w:hAnsi="Tahoma" w:cs="Tahoma"/>
                <w:sz w:val="18"/>
                <w:szCs w:val="18"/>
              </w:rPr>
              <w:t>Executive Function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از مجموعه آزمون های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0B6601">
        <w:trPr>
          <w:trHeight w:hRule="exact" w:val="451"/>
          <w:jc w:val="center"/>
        </w:trPr>
        <w:tc>
          <w:tcPr>
            <w:tcW w:w="8100" w:type="dxa"/>
            <w:vAlign w:val="center"/>
          </w:tcPr>
          <w:p w:rsidR="00261DA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های </w:t>
            </w:r>
            <w:r>
              <w:rPr>
                <w:rFonts w:ascii="Tahoma" w:hAnsi="Tahoma" w:cs="Tahoma"/>
                <w:sz w:val="18"/>
                <w:szCs w:val="18"/>
              </w:rPr>
              <w:t>Executive Function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از مجموعه آزمون های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0B6601">
        <w:trPr>
          <w:trHeight w:hRule="exact" w:val="370"/>
          <w:jc w:val="center"/>
        </w:trPr>
        <w:tc>
          <w:tcPr>
            <w:tcW w:w="8100" w:type="dxa"/>
            <w:vAlign w:val="center"/>
          </w:tcPr>
          <w:p w:rsidR="00364423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379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B93764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B93764" w:rsidRPr="00261DA3" w:rsidRDefault="00B93764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سرفصل های استاد دوم درس</w:t>
            </w:r>
          </w:p>
        </w:tc>
        <w:tc>
          <w:tcPr>
            <w:tcW w:w="810" w:type="dxa"/>
          </w:tcPr>
          <w:p w:rsidR="00B93764" w:rsidRPr="00EC61FA" w:rsidRDefault="00B93764" w:rsidP="00B93764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60" w:type="dxa"/>
          </w:tcPr>
          <w:p w:rsidR="00B93764" w:rsidRDefault="00B93764" w:rsidP="00B93764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0B6601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B93764" w:rsidRDefault="00364423" w:rsidP="000B6601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</w:tcPr>
          <w:p w:rsidR="00364423" w:rsidRPr="00490A33" w:rsidRDefault="00364423" w:rsidP="00364423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C77C1" w:rsidRDefault="000450E0" w:rsidP="00C11511">
      <w:pPr>
        <w:bidi/>
        <w:spacing w:before="240" w:after="0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CC77C1" w:rsidRPr="00CC77C1" w:rsidRDefault="00B75597" w:rsidP="00B75597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شروع هر کلاس به صورت آموزش های تئوری استاد در زمینه شیوه اجرا و تفسیر آزمون ها خواهد بود که با کار عملی دانشجویان و تمرین آنها در سر کلاس درس پایان می یابد. بدیهی است آزمون هایی که به دلیل جامعیت اجرا و تفسیر، امکان تمرین آن در سر کلاس وجود ندارد، دانشجویان آنها را به عنوان تکالیف مرتبط با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</w:t>
      </w:r>
      <w:r>
        <w:rPr>
          <w:rFonts w:ascii="Tahoma" w:hAnsi="Tahoma" w:cs="Tahoma" w:hint="cs"/>
          <w:sz w:val="18"/>
          <w:szCs w:val="18"/>
          <w:rtl/>
        </w:rPr>
        <w:t>درس در خارج از کلاس انجام داده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و در جلسه بعد با نظارت استاد، رفع اشکال می نمایند.</w:t>
      </w:r>
    </w:p>
    <w:p w:rsidR="00CC77C1" w:rsidRDefault="003E0EBC" w:rsidP="00D83A30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ارزشیابی</w:t>
      </w:r>
      <w:r w:rsidR="00862097">
        <w:rPr>
          <w:rFonts w:cs="B Nazanin" w:hint="cs"/>
          <w:b/>
          <w:bCs/>
          <w:sz w:val="28"/>
          <w:szCs w:val="28"/>
          <w:rtl/>
          <w:lang w:bidi="fa-IR"/>
        </w:rPr>
        <w:t xml:space="preserve"> و شیوه آن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15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امتحان پایان ترم از مباحث تدریس شده توسط استاد درس</w:t>
      </w:r>
      <w:r w:rsidR="00243804">
        <w:rPr>
          <w:rFonts w:ascii="Tahoma" w:hAnsi="Tahoma" w:cs="Tahoma" w:hint="cs"/>
          <w:sz w:val="18"/>
          <w:szCs w:val="18"/>
          <w:rtl/>
        </w:rPr>
        <w:t xml:space="preserve"> به صورت تشریحی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</w:t>
      </w:r>
      <w:r>
        <w:rPr>
          <w:rFonts w:ascii="Tahoma" w:hAnsi="Tahoma" w:cs="Tahoma" w:hint="cs"/>
          <w:sz w:val="18"/>
          <w:szCs w:val="18"/>
          <w:rtl/>
        </w:rPr>
        <w:t>کیفیت اجرا و تفسیر آزمون های تدریس شده استاد که دانشجو به عنوان تکالیف مرتبط با درس</w:t>
      </w:r>
      <w:r w:rsidR="003F037B">
        <w:rPr>
          <w:rFonts w:ascii="Tahoma" w:hAnsi="Tahoma" w:cs="Tahoma" w:hint="cs"/>
          <w:sz w:val="18"/>
          <w:szCs w:val="18"/>
          <w:rtl/>
        </w:rPr>
        <w:t xml:space="preserve"> در خارج از کلاس انجام داده است.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منابع درس:</w:t>
      </w:r>
    </w:p>
    <w:p w:rsidR="00722EA5" w:rsidRDefault="00F86A09" w:rsidP="00722EA5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</w:p>
    <w:p w:rsidR="006F5E28" w:rsidRDefault="006F5E28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9A3044" w:rsidRDefault="006F5E28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1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- A Compendium of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Neuropsychological Tests: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Administration, Norms,</w:t>
      </w:r>
      <w:r w:rsidR="009A3044"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 w:rsidR="009A3044">
        <w:rPr>
          <w:rFonts w:ascii="HelveticaNeueLTStd-Roman-Identi" w:hAnsi="HelveticaNeueLTStd-Roman-Identi" w:cs="HelveticaNeueLTStd-Roman-Identi"/>
          <w:sz w:val="24"/>
          <w:szCs w:val="24"/>
        </w:rPr>
        <w:t>and Commentary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Third Edition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Esther Strauss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Elisabeth M. S. Sherman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Oxford University Press</w:t>
      </w:r>
    </w:p>
    <w:p w:rsidR="006F5E28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proofErr w:type="gramStart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 xml:space="preserve">2-  </w:t>
      </w:r>
      <w:proofErr w:type="spellStart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>Cantab</w:t>
      </w:r>
      <w:proofErr w:type="spellEnd"/>
      <w:proofErr w:type="gramEnd"/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 xml:space="preserve"> Research Suite 6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6F5E28">
        <w:rPr>
          <w:rFonts w:ascii="HelveticaNeueLTStd-Roman-Identi" w:hAnsi="HelveticaNeueLTStd-Roman-Identi" w:cs="HelveticaNeueLTStd-Roman-Identi"/>
          <w:sz w:val="24"/>
          <w:szCs w:val="24"/>
        </w:rPr>
        <w:t>Test Administration Guide</w:t>
      </w:r>
    </w:p>
    <w:p w:rsidR="006F5E28" w:rsidRPr="00E70EAB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Cambridge Cognition 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3-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Perception and Attention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Focused Attention</w:t>
      </w:r>
    </w:p>
    <w:p w:rsidR="006F5E28" w:rsidRPr="00E70EAB" w:rsidRDefault="006F5E28" w:rsidP="006F5E28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6F5E28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proofErr w:type="gramStart"/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4- 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Perception</w:t>
      </w:r>
      <w:proofErr w:type="gramEnd"/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and Attention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="00E70EAB" w:rsidRPr="00E70EAB">
        <w:rPr>
          <w:rFonts w:ascii="HelveticaNeueLTStd-Roman-Identi" w:hAnsi="HelveticaNeueLTStd-Roman-Identi" w:cs="HelveticaNeueLTStd-Roman-Identi"/>
          <w:sz w:val="24"/>
          <w:szCs w:val="24"/>
        </w:rPr>
        <w:t>Divided Attention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6F5E28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5- Perception and Attention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selective Attention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6- Perception and Attention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Functions: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Sustained Attention &amp; Vigilance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Sturm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SCHUHFRIED GmbH</w:t>
      </w:r>
    </w:p>
    <w:p w:rsidR="00E70EAB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7- 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IVA-2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Integrated Visual and Auditory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Continuous Performance Test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Manual</w:t>
      </w:r>
    </w:p>
    <w:p w:rsidR="009E4D50" w:rsidRPr="00E70EAB" w:rsidRDefault="00E70EAB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Joseph A.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Sandford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, Ph.D. and Shana E.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Sandford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, B.A.</w:t>
      </w:r>
    </w:p>
    <w:p w:rsidR="00E70EAB" w:rsidRPr="00E70EAB" w:rsidRDefault="00E70EAB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E70EAB" w:rsidRPr="00E70EAB" w:rsidRDefault="00E70EAB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722EA5" w:rsidRDefault="00F86A09" w:rsidP="00722EA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Clinical Neuropsychological</w:t>
      </w:r>
      <w:r w:rsidR="00E70EAB">
        <w:rPr>
          <w:rFonts w:ascii="HelveticaNeueLTStd-Roman-Identi" w:hAnsi="HelveticaNeueLTStd-Roman-Identi" w:cs="HelveticaNeueLTStd-Roman-Identi"/>
          <w:sz w:val="24"/>
          <w:szCs w:val="24"/>
        </w:rPr>
        <w:t xml:space="preserve"> </w:t>
      </w: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Assessment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 w:rsidRPr="00E70EAB">
        <w:rPr>
          <w:rFonts w:ascii="HelveticaNeueLTStd-Roman-Identi" w:hAnsi="HelveticaNeueLTStd-Roman-Identi" w:cs="HelveticaNeueLTStd-Roman-Identi"/>
          <w:sz w:val="24"/>
          <w:szCs w:val="24"/>
        </w:rPr>
        <w:t>A Cognitive Approach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Robert L.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Mapou</w:t>
      </w:r>
      <w:proofErr w:type="spellEnd"/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Jack Spector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Walter Reed Army Medical Center</w:t>
      </w:r>
    </w:p>
    <w:p w:rsidR="006F5E28" w:rsidRPr="00E70EAB" w:rsidRDefault="006F5E28" w:rsidP="00E70EAB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Springer </w:t>
      </w:r>
      <w:proofErr w:type="spellStart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>Science+Business</w:t>
      </w:r>
      <w:proofErr w:type="spellEnd"/>
      <w:r w:rsidRPr="00E70EAB">
        <w:rPr>
          <w:rFonts w:ascii="HelveticaNeueLTStd-Roman-Identi" w:hAnsi="HelveticaNeueLTStd-Roman-Identi" w:cs="HelveticaNeueLTStd-Roman-Identi"/>
          <w:sz w:val="16"/>
          <w:szCs w:val="16"/>
        </w:rPr>
        <w:t xml:space="preserve"> Media, LLC</w:t>
      </w:r>
    </w:p>
    <w:p w:rsidR="00E70EAB" w:rsidRDefault="00E70EAB" w:rsidP="0048661E">
      <w:pPr>
        <w:bidi/>
        <w:jc w:val="both"/>
        <w:rPr>
          <w:rFonts w:ascii="Times-Roman" w:hAnsi="Times-Roman" w:cs="Times-Roman"/>
          <w:sz w:val="30"/>
          <w:szCs w:val="30"/>
        </w:rPr>
      </w:pPr>
    </w:p>
    <w:p w:rsidR="00945977" w:rsidRPr="001D3437" w:rsidRDefault="00F86A09" w:rsidP="00E70EA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D65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5977"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استفاده از تلفن همراه در کلاس درس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تاخیر بیش از 15 دقیقه برای حضور در کلاس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احترام متقابل استاد و دانشجو در کلاس درس</w:t>
      </w:r>
    </w:p>
    <w:p w:rsidR="00945977" w:rsidRPr="00722EA5" w:rsidRDefault="00945977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حضور و غیاب</w:t>
      </w:r>
    </w:p>
    <w:p w:rsidR="00945977" w:rsidRPr="00722EA5" w:rsidRDefault="00722EA5" w:rsidP="00000FB9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 xml:space="preserve">ارایه به موقع </w:t>
      </w:r>
      <w:r w:rsidR="00000FB9">
        <w:rPr>
          <w:rFonts w:ascii="Tahoma" w:hAnsi="Tahoma" w:cs="Tahoma" w:hint="cs"/>
          <w:sz w:val="18"/>
          <w:szCs w:val="18"/>
          <w:rtl/>
          <w:lang w:bidi="fa-IR"/>
        </w:rPr>
        <w:t>تکالیف عملی به استاد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امتحان پایان ترم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elveticaNeueLTStd-Roman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2E000C"/>
    <w:multiLevelType w:val="hybridMultilevel"/>
    <w:tmpl w:val="0C72F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17A86"/>
    <w:multiLevelType w:val="hybridMultilevel"/>
    <w:tmpl w:val="13C2613C"/>
    <w:lvl w:ilvl="0" w:tplc="9DD801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00FB9"/>
    <w:rsid w:val="00013A2E"/>
    <w:rsid w:val="000450E0"/>
    <w:rsid w:val="000831F5"/>
    <w:rsid w:val="000A74AF"/>
    <w:rsid w:val="000B49BA"/>
    <w:rsid w:val="000B6601"/>
    <w:rsid w:val="000F0BE4"/>
    <w:rsid w:val="000F4E31"/>
    <w:rsid w:val="001D3437"/>
    <w:rsid w:val="001D677A"/>
    <w:rsid w:val="00217FD9"/>
    <w:rsid w:val="00235351"/>
    <w:rsid w:val="00243804"/>
    <w:rsid w:val="002453F9"/>
    <w:rsid w:val="00261DA3"/>
    <w:rsid w:val="00264B7E"/>
    <w:rsid w:val="00271BB8"/>
    <w:rsid w:val="00284DAD"/>
    <w:rsid w:val="002D3E90"/>
    <w:rsid w:val="003278D0"/>
    <w:rsid w:val="003556D3"/>
    <w:rsid w:val="00364423"/>
    <w:rsid w:val="003837F7"/>
    <w:rsid w:val="00383890"/>
    <w:rsid w:val="003A5314"/>
    <w:rsid w:val="003D65D3"/>
    <w:rsid w:val="003E0EBC"/>
    <w:rsid w:val="003F037B"/>
    <w:rsid w:val="0042044F"/>
    <w:rsid w:val="00434311"/>
    <w:rsid w:val="0043645C"/>
    <w:rsid w:val="004800CB"/>
    <w:rsid w:val="0048661E"/>
    <w:rsid w:val="00507C69"/>
    <w:rsid w:val="0053479C"/>
    <w:rsid w:val="005C3334"/>
    <w:rsid w:val="006615F9"/>
    <w:rsid w:val="006A1BD0"/>
    <w:rsid w:val="006F36C2"/>
    <w:rsid w:val="006F5E28"/>
    <w:rsid w:val="00722EA5"/>
    <w:rsid w:val="0079190F"/>
    <w:rsid w:val="007A754A"/>
    <w:rsid w:val="007F5CB4"/>
    <w:rsid w:val="00847594"/>
    <w:rsid w:val="00862097"/>
    <w:rsid w:val="00885E2F"/>
    <w:rsid w:val="00891F79"/>
    <w:rsid w:val="00895D45"/>
    <w:rsid w:val="00945977"/>
    <w:rsid w:val="00972E52"/>
    <w:rsid w:val="009A3044"/>
    <w:rsid w:val="009B26F1"/>
    <w:rsid w:val="009E4D50"/>
    <w:rsid w:val="00A156B3"/>
    <w:rsid w:val="00A16868"/>
    <w:rsid w:val="00AD1CB6"/>
    <w:rsid w:val="00B44A4B"/>
    <w:rsid w:val="00B75597"/>
    <w:rsid w:val="00B93764"/>
    <w:rsid w:val="00BC0427"/>
    <w:rsid w:val="00BC1D06"/>
    <w:rsid w:val="00C11511"/>
    <w:rsid w:val="00C55133"/>
    <w:rsid w:val="00CA5048"/>
    <w:rsid w:val="00CC35C7"/>
    <w:rsid w:val="00CC77C1"/>
    <w:rsid w:val="00CC7E29"/>
    <w:rsid w:val="00CE571B"/>
    <w:rsid w:val="00CE7FF6"/>
    <w:rsid w:val="00D3534E"/>
    <w:rsid w:val="00D62FC9"/>
    <w:rsid w:val="00D64FCC"/>
    <w:rsid w:val="00D83A30"/>
    <w:rsid w:val="00DC60E2"/>
    <w:rsid w:val="00E333E4"/>
    <w:rsid w:val="00E41516"/>
    <w:rsid w:val="00E70EAB"/>
    <w:rsid w:val="00E7406E"/>
    <w:rsid w:val="00EB4572"/>
    <w:rsid w:val="00EC2BC8"/>
    <w:rsid w:val="00EC61FA"/>
    <w:rsid w:val="00F152A7"/>
    <w:rsid w:val="00F16770"/>
    <w:rsid w:val="00F34B2C"/>
    <w:rsid w:val="00F71FFB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57F887-320C-4974-9606-FEE471A6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8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2E5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68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8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F5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rsid w:val="00E70EAB"/>
    <w:pPr>
      <w:spacing w:after="0" w:line="240" w:lineRule="auto"/>
      <w:jc w:val="center"/>
    </w:pPr>
    <w:rPr>
      <w:rFonts w:ascii="Footlight MT Light" w:eastAsia="Times New Roman" w:hAnsi="Footlight MT Light" w:cs="Times New Roman"/>
      <w:b/>
      <w:color w:val="000000"/>
      <w:sz w:val="128"/>
      <w:szCs w:val="20"/>
    </w:rPr>
  </w:style>
  <w:style w:type="character" w:customStyle="1" w:styleId="TitleChar">
    <w:name w:val="Title Char"/>
    <w:basedOn w:val="DefaultParagraphFont"/>
    <w:link w:val="Title"/>
    <w:rsid w:val="00E70EAB"/>
    <w:rPr>
      <w:rFonts w:ascii="Footlight MT Light" w:eastAsia="Times New Roman" w:hAnsi="Footlight MT Light" w:cs="Times New Roman"/>
      <w:b/>
      <w:color w:val="000000"/>
      <w:sz w:val="1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_sadegh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358C0-9C49-42AA-9542-B787A735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 PC</cp:lastModifiedBy>
  <cp:revision>2</cp:revision>
  <cp:lastPrinted>2019-01-19T05:02:00Z</cp:lastPrinted>
  <dcterms:created xsi:type="dcterms:W3CDTF">2019-02-01T10:46:00Z</dcterms:created>
  <dcterms:modified xsi:type="dcterms:W3CDTF">2019-02-01T10:46:00Z</dcterms:modified>
</cp:coreProperties>
</file>